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833"/>
        <w:gridCol w:w="3969"/>
        <w:gridCol w:w="5206"/>
        <w:gridCol w:w="312"/>
      </w:tblGrid>
      <w:tr w:rsidR="007110FE" w14:paraId="00549E76" w14:textId="77777777" w:rsidTr="00066056">
        <w:trPr>
          <w:gridAfter w:val="1"/>
          <w:wAfter w:w="312" w:type="dxa"/>
          <w:trHeight w:val="450"/>
        </w:trPr>
        <w:tc>
          <w:tcPr>
            <w:tcW w:w="1016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00549E75" w14:textId="77777777" w:rsidR="007110FE" w:rsidRDefault="007F6E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110FE" w14:paraId="00549E79" w14:textId="77777777" w:rsidTr="00066056">
        <w:trPr>
          <w:trHeight w:val="450"/>
        </w:trPr>
        <w:tc>
          <w:tcPr>
            <w:tcW w:w="1016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49E77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49E78" w14:textId="77777777" w:rsidR="007110FE" w:rsidRDefault="00711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110FE" w14:paraId="00549E7E" w14:textId="77777777" w:rsidTr="00066056">
        <w:trPr>
          <w:trHeight w:val="6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7A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7B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49E7C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7D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81" w14:textId="77777777" w:rsidTr="00066056">
        <w:trPr>
          <w:trHeight w:val="375"/>
        </w:trPr>
        <w:tc>
          <w:tcPr>
            <w:tcW w:w="1016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549E7F" w14:textId="77777777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00549E80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84" w14:textId="77777777" w:rsidTr="00066056">
        <w:trPr>
          <w:trHeight w:val="375"/>
        </w:trPr>
        <w:tc>
          <w:tcPr>
            <w:tcW w:w="1016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49E82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49E83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110FE" w14:paraId="00549E89" w14:textId="77777777" w:rsidTr="00066056">
        <w:trPr>
          <w:trHeight w:val="9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5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6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49E87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88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8E" w14:textId="77777777" w:rsidTr="00066056">
        <w:trPr>
          <w:trHeight w:val="34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A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549E8B" w14:textId="77777777" w:rsidR="007110FE" w:rsidRDefault="00E73F6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06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0549E8C" w14:textId="77777777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0549E8D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93" w14:textId="77777777" w:rsidTr="00066056">
        <w:trPr>
          <w:trHeight w:val="34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F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396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0549E90" w14:textId="77777777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0549E91" w14:textId="77777777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0549E92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98" w14:textId="77777777" w:rsidTr="00066056">
        <w:trPr>
          <w:trHeight w:val="40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94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95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49E96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97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9C" w14:textId="77777777" w:rsidTr="00066056">
        <w:trPr>
          <w:trHeight w:val="510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99" w14:textId="77777777" w:rsidR="007110FE" w:rsidRDefault="00E73F6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9A" w14:textId="749E3C03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114D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Jackulíková</w:t>
            </w:r>
          </w:p>
        </w:tc>
        <w:tc>
          <w:tcPr>
            <w:tcW w:w="312" w:type="dxa"/>
            <w:vAlign w:val="center"/>
          </w:tcPr>
          <w:p w14:paraId="00549E9B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0" w14:textId="77777777" w:rsidTr="00066056">
        <w:trPr>
          <w:trHeight w:val="315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0549E9D" w14:textId="77777777" w:rsidR="007110FE" w:rsidRDefault="00E73F6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9E" w14:textId="0B183D7E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114D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Mária</w:t>
            </w:r>
          </w:p>
        </w:tc>
        <w:tc>
          <w:tcPr>
            <w:tcW w:w="312" w:type="dxa"/>
            <w:vAlign w:val="center"/>
          </w:tcPr>
          <w:p w14:paraId="00549E9F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4" w14:textId="77777777" w:rsidTr="00066056">
        <w:trPr>
          <w:trHeight w:val="559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0549EA1" w14:textId="77777777" w:rsidR="007110FE" w:rsidRDefault="00E73F6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A5FBA3" w14:textId="766E2A23" w:rsidR="00C75739" w:rsidRPr="00C75739" w:rsidRDefault="00C75739" w:rsidP="00C7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757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doc., Mgr., PhD.</w:t>
            </w:r>
          </w:p>
          <w:p w14:paraId="00549EA2" w14:textId="7A945BB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A3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8" w14:textId="77777777" w:rsidTr="00066056">
        <w:trPr>
          <w:trHeight w:val="660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A5" w14:textId="77777777" w:rsidR="007110FE" w:rsidRDefault="00E73F6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153F8E" w14:textId="0735A223" w:rsidR="007110FE" w:rsidRDefault="00E73F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3" w:history="1">
              <w:r w:rsidR="006A7C07" w:rsidRPr="000E25B0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https://www.portalvs.sk/regzam/detail/28700</w:t>
              </w:r>
            </w:hyperlink>
          </w:p>
          <w:p w14:paraId="00549EA6" w14:textId="75B028AC" w:rsidR="006A7C07" w:rsidRDefault="006A7C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A7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C" w14:textId="77777777" w:rsidTr="00066056">
        <w:trPr>
          <w:trHeight w:val="300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A9" w14:textId="77777777" w:rsidR="007110FE" w:rsidRDefault="00E73F6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AA" w14:textId="5DEDA507" w:rsidR="007110FE" w:rsidRDefault="00B317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A80C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Ošetrovateľstvo</w:t>
            </w:r>
            <w:r w:rsidR="00FD1CAA" w:rsidRPr="00A80C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I.,</w:t>
            </w:r>
            <w:r w:rsidR="00F07C1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FD1CAA" w:rsidRPr="00A80C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II.</w:t>
            </w:r>
            <w:r w:rsidR="00F07C1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A80C22" w:rsidRPr="00A80C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</w:t>
            </w:r>
            <w:r w:rsidR="00FD1CAA" w:rsidRPr="00A80C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tupeň / </w:t>
            </w:r>
            <w:r w:rsidR="00A80C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Nursing </w:t>
            </w:r>
            <w:r w:rsidR="00FD1CAA" w:rsidRPr="00A80C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I., II.</w:t>
            </w:r>
            <w:r w:rsidR="00F07C1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FD1CAA" w:rsidRPr="00A80C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</w:p>
        </w:tc>
        <w:tc>
          <w:tcPr>
            <w:tcW w:w="312" w:type="dxa"/>
            <w:vAlign w:val="center"/>
          </w:tcPr>
          <w:p w14:paraId="00549EAB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B2" w14:textId="77777777" w:rsidTr="00066056">
        <w:trPr>
          <w:trHeight w:val="972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AD" w14:textId="77777777" w:rsidR="00DC4B73" w:rsidRDefault="00E73F6D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278148" w14:textId="3983A751" w:rsidR="00CB0D4A" w:rsidRPr="00DA1CE4" w:rsidRDefault="00A67470" w:rsidP="00CB0D4A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sz w:val="16"/>
                <w:szCs w:val="16"/>
              </w:rPr>
              <w:t>O</w:t>
            </w:r>
            <w:r w:rsidR="00DC4B73">
              <w:rPr>
                <w:sz w:val="16"/>
                <w:szCs w:val="16"/>
              </w:rPr>
              <w:t xml:space="preserve">dborný výstup / </w:t>
            </w:r>
            <w:r>
              <w:rPr>
                <w:sz w:val="16"/>
                <w:szCs w:val="16"/>
              </w:rPr>
              <w:t>Professional</w:t>
            </w:r>
            <w:r w:rsidR="00DC4B73" w:rsidRPr="006F7AAC">
              <w:rPr>
                <w:sz w:val="16"/>
                <w:szCs w:val="16"/>
              </w:rPr>
              <w:t xml:space="preserve"> </w:t>
            </w:r>
            <w:r w:rsidR="00433C41">
              <w:rPr>
                <w:sz w:val="16"/>
              </w:rPr>
              <w:t>O</w:t>
            </w:r>
            <w:r w:rsidR="00DC4B73">
              <w:rPr>
                <w:rFonts w:cstheme="minorHAnsi"/>
                <w:bCs/>
                <w:sz w:val="16"/>
              </w:rPr>
              <w:t>utput</w:t>
            </w:r>
          </w:p>
          <w:p w14:paraId="6E976319" w14:textId="77777777" w:rsidR="00CB0D4A" w:rsidRPr="00DA1CE4" w:rsidRDefault="00CB0D4A" w:rsidP="00CB0D4A">
            <w:pPr>
              <w:pStyle w:val="Normlny1"/>
              <w:rPr>
                <w:rFonts w:asciiTheme="minorHAnsi" w:hAnsiTheme="minorHAnsi" w:cstheme="minorHAnsi"/>
                <w:sz w:val="16"/>
                <w:szCs w:val="16"/>
              </w:rPr>
            </w:pPr>
            <w:r w:rsidRPr="00DA1CE4">
              <w:rPr>
                <w:rFonts w:asciiTheme="minorHAnsi" w:hAnsiTheme="minorHAnsi" w:cstheme="minorHAnsi"/>
                <w:sz w:val="16"/>
                <w:szCs w:val="16"/>
              </w:rPr>
              <w:t>Pedagogický výstup / Pedagogical output</w:t>
            </w:r>
          </w:p>
          <w:p w14:paraId="1916EA1C" w14:textId="77777777" w:rsidR="00CB0D4A" w:rsidRDefault="00CB0D4A" w:rsidP="00DC4B73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</w:p>
          <w:p w14:paraId="00549EB0" w14:textId="77450180" w:rsidR="00DC4B73" w:rsidRDefault="00DC4B73" w:rsidP="00CA3C8F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0549EB1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B6" w14:textId="77777777" w:rsidTr="00066056">
        <w:trPr>
          <w:trHeight w:val="510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B3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088F56" w14:textId="77777777" w:rsidR="00C47115" w:rsidRPr="00DA1CE4" w:rsidRDefault="00C47115" w:rsidP="00C4711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DA1CE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2019 – 1. vydanie</w:t>
            </w:r>
          </w:p>
          <w:p w14:paraId="00549EB4" w14:textId="676FB626" w:rsidR="00DC4B73" w:rsidRDefault="00C47115" w:rsidP="00C47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 w:rsidRPr="00DA1CE4">
              <w:rPr>
                <w:rFonts w:eastAsia="Times New Roman" w:cstheme="minorHAnsi"/>
                <w:color w:val="000000"/>
                <w:sz w:val="16"/>
                <w:szCs w:val="16"/>
                <w:lang w:val="en-US" w:eastAsia="sk-SK"/>
              </w:rPr>
              <w:t xml:space="preserve">2020 – 2. </w:t>
            </w:r>
            <w:r w:rsidRPr="00DA1CE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vydanie</w:t>
            </w:r>
          </w:p>
        </w:tc>
        <w:tc>
          <w:tcPr>
            <w:tcW w:w="312" w:type="dxa"/>
            <w:vAlign w:val="center"/>
          </w:tcPr>
          <w:p w14:paraId="00549EB5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BA" w14:textId="77777777" w:rsidTr="00066056">
        <w:trPr>
          <w:trHeight w:val="660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B7" w14:textId="77777777" w:rsidR="00DC4B73" w:rsidRDefault="00E73F6D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DC4B7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B8" w14:textId="30B23C67" w:rsidR="00DC4B73" w:rsidRDefault="00226BE1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26B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ID = 232794</w:t>
            </w:r>
          </w:p>
        </w:tc>
        <w:tc>
          <w:tcPr>
            <w:tcW w:w="312" w:type="dxa"/>
            <w:vAlign w:val="center"/>
          </w:tcPr>
          <w:p w14:paraId="00549EB9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BE" w14:textId="77777777" w:rsidTr="00066056">
        <w:trPr>
          <w:trHeight w:val="494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BB" w14:textId="77777777" w:rsidR="00DC4B73" w:rsidRDefault="00E73F6D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62D717" w14:textId="4C67BCB7" w:rsidR="004E47EC" w:rsidRDefault="009A0A0B" w:rsidP="00C94E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eastAsia="sk-SK"/>
              </w:rPr>
            </w:pPr>
            <w:r w:rsidRPr="009A0A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hyperlink r:id="rId18" w:history="1">
              <w:r w:rsidRPr="00872AA0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https://app.crepc.sk/?fn=detailBiblioForm&amp;sid=E7AD34B89B0076868965F9AE15</w:t>
              </w:r>
            </w:hyperlink>
          </w:p>
          <w:p w14:paraId="00549EBC" w14:textId="23096BC9" w:rsidR="00734A18" w:rsidRDefault="00734A18" w:rsidP="00C94E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BD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C3" w14:textId="77777777" w:rsidTr="00066056">
        <w:trPr>
          <w:trHeight w:val="1065"/>
        </w:trPr>
        <w:tc>
          <w:tcPr>
            <w:tcW w:w="99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00549EBF" w14:textId="77777777" w:rsidR="00DC4B73" w:rsidRDefault="00DC4B73" w:rsidP="00DC4B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C0" w14:textId="77777777" w:rsidR="00DC4B73" w:rsidRDefault="00E73F6D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C1" w14:textId="39F05A03" w:rsidR="00DC4B73" w:rsidRDefault="00DC4B73" w:rsidP="00DC4B73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0549EC2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C8" w14:textId="77777777" w:rsidTr="00066056">
        <w:trPr>
          <w:trHeight w:val="1515"/>
        </w:trPr>
        <w:tc>
          <w:tcPr>
            <w:tcW w:w="99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C4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C5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C6" w14:textId="00E7883B" w:rsidR="00DC4B73" w:rsidRPr="007A00CE" w:rsidRDefault="00113944" w:rsidP="00247A8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1394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Akútne situácie a katastrofy v zdravotníckej a sociálnej práci</w:t>
            </w:r>
            <w:r w:rsidRPr="001139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[textový dokument (</w:t>
            </w:r>
            <w:proofErr w:type="spellStart"/>
            <w:r w:rsidRPr="001139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print</w:t>
            </w:r>
            <w:proofErr w:type="spellEnd"/>
            <w:r w:rsidRPr="001139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)] [monografia (do 2021)] / Šramková, Mária [Autor, </w:t>
            </w:r>
            <w:proofErr w:type="spellStart"/>
            <w:r w:rsidRPr="001139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VSSVArektorat</w:t>
            </w:r>
            <w:proofErr w:type="spellEnd"/>
            <w:r w:rsidRPr="001139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11.112%] ; Al </w:t>
            </w:r>
            <w:proofErr w:type="spellStart"/>
            <w:r w:rsidRPr="001139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Trad</w:t>
            </w:r>
            <w:proofErr w:type="spellEnd"/>
            <w:r w:rsidRPr="001139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Topoľská, Alexandra [Autor, </w:t>
            </w:r>
            <w:proofErr w:type="spellStart"/>
            <w:r w:rsidRPr="001139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VSSVArektorat</w:t>
            </w:r>
            <w:proofErr w:type="spellEnd"/>
            <w:r w:rsidRPr="001139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11.111%] ; </w:t>
            </w:r>
            <w:proofErr w:type="spellStart"/>
            <w:r w:rsidRPr="001139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Bartkovjak</w:t>
            </w:r>
            <w:proofErr w:type="spellEnd"/>
            <w:r w:rsidRPr="001139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Marián [Autor, </w:t>
            </w:r>
            <w:proofErr w:type="spellStart"/>
            <w:r w:rsidRPr="001139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VSSVArektorat</w:t>
            </w:r>
            <w:proofErr w:type="spellEnd"/>
            <w:r w:rsidRPr="001139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11.111%] ; </w:t>
            </w:r>
            <w:proofErr w:type="spellStart"/>
            <w:r w:rsidRPr="001139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Luliak</w:t>
            </w:r>
            <w:proofErr w:type="spellEnd"/>
            <w:r w:rsidRPr="001139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Milan [Autor, </w:t>
            </w:r>
            <w:proofErr w:type="spellStart"/>
            <w:r w:rsidRPr="001139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VSSVArektorat</w:t>
            </w:r>
            <w:proofErr w:type="spellEnd"/>
            <w:r w:rsidRPr="001139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11.111%] ; Benca, Juraj [Autor, </w:t>
            </w:r>
            <w:proofErr w:type="spellStart"/>
            <w:r w:rsidRPr="001139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VSSVArektorat</w:t>
            </w:r>
            <w:proofErr w:type="spellEnd"/>
            <w:r w:rsidRPr="001139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11.111%] ; </w:t>
            </w:r>
            <w:proofErr w:type="spellStart"/>
            <w:r w:rsidRPr="001139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Drgová</w:t>
            </w:r>
            <w:proofErr w:type="spellEnd"/>
            <w:r w:rsidRPr="001139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Jaroslava [Autor, </w:t>
            </w:r>
            <w:proofErr w:type="spellStart"/>
            <w:r w:rsidRPr="001139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VSSVArektorat</w:t>
            </w:r>
            <w:proofErr w:type="spellEnd"/>
            <w:r w:rsidRPr="001139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11.111%] ; </w:t>
            </w:r>
            <w:proofErr w:type="spellStart"/>
            <w:r w:rsidRPr="001139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Foltin</w:t>
            </w:r>
            <w:proofErr w:type="spellEnd"/>
            <w:r w:rsidRPr="001139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Viktor [Autor, </w:t>
            </w:r>
            <w:proofErr w:type="spellStart"/>
            <w:r w:rsidRPr="001139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VSSVArektorat</w:t>
            </w:r>
            <w:proofErr w:type="spellEnd"/>
            <w:r w:rsidRPr="001139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11.111%] ; </w:t>
            </w:r>
            <w:r w:rsidRPr="00E37C5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Jackulíková, Mária [Autor, </w:t>
            </w:r>
            <w:proofErr w:type="spellStart"/>
            <w:r w:rsidRPr="00E37C5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VSSVArektorat</w:t>
            </w:r>
            <w:proofErr w:type="spellEnd"/>
            <w:r w:rsidRPr="00E37C5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, 11.111%] </w:t>
            </w:r>
            <w:r w:rsidRPr="001139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; Páleníková, Milica [Autor, </w:t>
            </w:r>
            <w:proofErr w:type="spellStart"/>
            <w:r w:rsidRPr="001139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VSSVArektorat</w:t>
            </w:r>
            <w:proofErr w:type="spellEnd"/>
            <w:r w:rsidRPr="001139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11.111%]. – 2. </w:t>
            </w:r>
            <w:proofErr w:type="spellStart"/>
            <w:r w:rsidRPr="001139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dopl</w:t>
            </w:r>
            <w:proofErr w:type="spellEnd"/>
            <w:r w:rsidRPr="001139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vyd. – Bratislava (Slovensko) : Vysoká škola zdravotníctva a sociálnej práce sv. Alžbety v Bratislave. Vysoká škola zdravotníctva a sociálnej práce sv. Alžbety - rektorát, 2020. – 199 s. [tlačená forma]. – [slovenčina]. – [OV 060, 180]. – [recenzované]. – ISBN 978-80-8132-222-8</w:t>
            </w:r>
          </w:p>
        </w:tc>
        <w:tc>
          <w:tcPr>
            <w:tcW w:w="312" w:type="dxa"/>
            <w:vAlign w:val="center"/>
          </w:tcPr>
          <w:p w14:paraId="00549EC7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CE" w14:textId="77777777" w:rsidTr="00066056">
        <w:trPr>
          <w:trHeight w:val="1290"/>
        </w:trPr>
        <w:tc>
          <w:tcPr>
            <w:tcW w:w="1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C9" w14:textId="0D90B000" w:rsidR="00DC4B73" w:rsidRDefault="00E77555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br w:type="page"/>
            </w:r>
          </w:p>
        </w:tc>
        <w:tc>
          <w:tcPr>
            <w:tcW w:w="48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CA" w14:textId="77777777" w:rsidR="00DC4B73" w:rsidRDefault="00E73F6D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Expl.OCA12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F04983" w14:textId="77777777" w:rsidR="00DC4B73" w:rsidRDefault="00DC4B73" w:rsidP="00DC4B73">
            <w:pPr>
              <w:spacing w:after="0" w:line="240" w:lineRule="auto"/>
              <w:rPr>
                <w:sz w:val="16"/>
                <w:szCs w:val="16"/>
              </w:rPr>
            </w:pPr>
          </w:p>
          <w:p w14:paraId="5B44476C" w14:textId="77777777" w:rsidR="005C7705" w:rsidRDefault="005C7705" w:rsidP="00DC4B73">
            <w:pPr>
              <w:spacing w:after="0" w:line="240" w:lineRule="auto"/>
              <w:rPr>
                <w:sz w:val="16"/>
                <w:szCs w:val="16"/>
              </w:rPr>
            </w:pPr>
          </w:p>
          <w:p w14:paraId="00549ECC" w14:textId="22F1EFE7" w:rsidR="005C7705" w:rsidRPr="005C7705" w:rsidRDefault="005C7705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 w:rsidRPr="005C7705">
              <w:rPr>
                <w:rFonts w:eastAsia="Times New Roman" w:cstheme="minorHAnsi"/>
                <w:color w:val="000000"/>
                <w:sz w:val="16"/>
                <w:szCs w:val="16"/>
                <w:lang w:val="en-US" w:eastAsia="sk-SK"/>
              </w:rPr>
              <w:t>Monografia</w:t>
            </w:r>
            <w:proofErr w:type="spellEnd"/>
            <w:r w:rsidRPr="005C7705">
              <w:rPr>
                <w:rFonts w:eastAsia="Times New Roman" w:cstheme="minorHAnsi"/>
                <w:color w:val="000000"/>
                <w:sz w:val="16"/>
                <w:szCs w:val="16"/>
                <w:lang w:val="en-US" w:eastAsia="sk-SK"/>
              </w:rPr>
              <w:t xml:space="preserve"> / Monograph</w:t>
            </w:r>
          </w:p>
        </w:tc>
        <w:tc>
          <w:tcPr>
            <w:tcW w:w="312" w:type="dxa"/>
            <w:vAlign w:val="center"/>
          </w:tcPr>
          <w:p w14:paraId="00549ECD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D3" w14:textId="77777777" w:rsidTr="00066056">
        <w:trPr>
          <w:trHeight w:val="1110"/>
        </w:trPr>
        <w:tc>
          <w:tcPr>
            <w:tcW w:w="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CF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D0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C4E155" w14:textId="77777777" w:rsidR="009B3A0F" w:rsidRDefault="009B3A0F" w:rsidP="00DC4B73">
            <w:pPr>
              <w:spacing w:after="0" w:line="240" w:lineRule="auto"/>
              <w:rPr>
                <w:lang w:eastAsia="sk-SK"/>
              </w:rPr>
            </w:pPr>
          </w:p>
          <w:p w14:paraId="587E2D24" w14:textId="77777777" w:rsidR="007D0A8E" w:rsidRDefault="007D0A8E" w:rsidP="00DC4B73">
            <w:pPr>
              <w:spacing w:after="0" w:line="240" w:lineRule="auto"/>
              <w:rPr>
                <w:lang w:eastAsia="sk-SK"/>
              </w:rPr>
            </w:pPr>
          </w:p>
          <w:p w14:paraId="5AD62979" w14:textId="77777777" w:rsidR="007D0A8E" w:rsidRDefault="007D0A8E" w:rsidP="00DC4B73">
            <w:pPr>
              <w:spacing w:after="0" w:line="240" w:lineRule="auto"/>
              <w:rPr>
                <w:lang w:eastAsia="sk-SK"/>
              </w:rPr>
            </w:pPr>
          </w:p>
          <w:p w14:paraId="16F9A2AD" w14:textId="77777777" w:rsidR="007D0A8E" w:rsidRDefault="007D0A8E" w:rsidP="00DC4B73">
            <w:pPr>
              <w:spacing w:after="0" w:line="240" w:lineRule="auto"/>
              <w:rPr>
                <w:lang w:eastAsia="sk-SK"/>
              </w:rPr>
            </w:pPr>
          </w:p>
          <w:p w14:paraId="6B4A337E" w14:textId="77777777" w:rsidR="007D0A8E" w:rsidRDefault="007D0A8E" w:rsidP="00DC4B73">
            <w:pPr>
              <w:spacing w:after="0" w:line="240" w:lineRule="auto"/>
              <w:rPr>
                <w:lang w:eastAsia="sk-SK"/>
              </w:rPr>
            </w:pPr>
          </w:p>
          <w:p w14:paraId="3E19E0EB" w14:textId="77777777" w:rsidR="007D0A8E" w:rsidRDefault="007D0A8E" w:rsidP="00DC4B73">
            <w:pPr>
              <w:spacing w:after="0" w:line="240" w:lineRule="auto"/>
              <w:rPr>
                <w:lang w:eastAsia="sk-SK"/>
              </w:rPr>
            </w:pPr>
          </w:p>
          <w:p w14:paraId="17947AE4" w14:textId="77777777" w:rsidR="007D0A8E" w:rsidRDefault="007D0A8E" w:rsidP="00DC4B73">
            <w:pPr>
              <w:spacing w:after="0" w:line="240" w:lineRule="auto"/>
              <w:rPr>
                <w:lang w:eastAsia="sk-SK"/>
              </w:rPr>
            </w:pPr>
          </w:p>
          <w:p w14:paraId="00549ED1" w14:textId="13CF85AA" w:rsidR="007D0A8E" w:rsidRPr="00B317B5" w:rsidRDefault="007D0A8E" w:rsidP="00DC4B73">
            <w:pPr>
              <w:spacing w:after="0" w:line="240" w:lineRule="auto"/>
              <w:rPr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D2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D9" w14:textId="77777777" w:rsidTr="00066056">
        <w:trPr>
          <w:trHeight w:val="765"/>
        </w:trPr>
        <w:tc>
          <w:tcPr>
            <w:tcW w:w="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D4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D5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486B1B" w14:textId="73CE32AC" w:rsidR="007D0A8E" w:rsidRPr="007D0A8E" w:rsidRDefault="007D0A8E" w:rsidP="007D0A8E">
            <w:pPr>
              <w:pStyle w:val="PredformtovanHTML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proofErr w:type="spellStart"/>
            <w:r w:rsidRPr="007D0A8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 w:rsidRPr="007D0A8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D0A8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 w:rsidR="00D46FD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7D0A8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: Jackulíková </w:t>
            </w:r>
            <w:r w:rsidRPr="007D0A8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11.111%] </w:t>
            </w:r>
            <w:r w:rsidRPr="007D0A8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/ </w:t>
            </w:r>
          </w:p>
          <w:p w14:paraId="67419AD6" w14:textId="134C4630" w:rsidR="007D0A8E" w:rsidRPr="007D0A8E" w:rsidRDefault="007D0A8E" w:rsidP="007D0A8E">
            <w:pPr>
              <w:pStyle w:val="PredformtovanHTML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</w:t>
            </w:r>
            <w:r w:rsidRPr="007D0A8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uthor's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</w:t>
            </w:r>
            <w:r w:rsidRPr="007D0A8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ontribution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:</w:t>
            </w:r>
            <w:r w:rsidRPr="007D0A8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Jackulíková</w:t>
            </w:r>
            <w:r w:rsidRPr="007D0A8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11.111%]</w:t>
            </w:r>
          </w:p>
          <w:p w14:paraId="00549ED7" w14:textId="77777777" w:rsidR="007D0A8E" w:rsidRPr="007D0A8E" w:rsidRDefault="007D0A8E" w:rsidP="00D6470E">
            <w:pPr>
              <w:pStyle w:val="Predformtovan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0549ED8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E0" w14:textId="77777777" w:rsidTr="00066056">
        <w:trPr>
          <w:trHeight w:val="2310"/>
        </w:trPr>
        <w:tc>
          <w:tcPr>
            <w:tcW w:w="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DA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0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0549EDB" w14:textId="77777777" w:rsidR="00DC4B73" w:rsidRDefault="00E73F6D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DE" w14:textId="3264DE74" w:rsidR="00DC4B73" w:rsidRPr="00A3205A" w:rsidRDefault="00B72828" w:rsidP="00A3205A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B728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Keď je človek súčasťou „nešťastia“</w:t>
            </w:r>
            <w:r w:rsidR="00B174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r w:rsidR="00BE6FFC" w:rsidRPr="00BE6FF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znamená, že sa dostane do nekontrolovateľnej a nepredvídateľnej situácie, ktorá presahuje</w:t>
            </w:r>
            <w:r w:rsidR="008934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bežnú</w:t>
            </w:r>
            <w:r w:rsidR="00BE6FFC" w:rsidRPr="00BE6FF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ľudskú skúsenosť. Humanitárna zdravotná starostlivosť a krízový manažment by mali dodržiavať štyri kľúčové princípy: ľudskosť, neutralitu, nestrannosť a nezávislosť. Tieto princípy sú základom humanitárneho ošetrovateľstva v prostrediach postihnutých prírodnými katastrofami alebo katastrofami spôsobenými človekom. Monografia sa venuje témam, ako sú sociálne, právne a územné aspekty krízových situácií, popri problémoch ako chudoba, </w:t>
            </w:r>
            <w:proofErr w:type="spellStart"/>
            <w:r w:rsidR="00BE6FFC" w:rsidRPr="00BE6FF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bezdomovectvo</w:t>
            </w:r>
            <w:proofErr w:type="spellEnd"/>
            <w:r w:rsidR="00BE6FFC" w:rsidRPr="00BE6FF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epidémie a vojnové konflikty postihujúce vysídlené obyvateľstvo. Zahŕňa aj očkovanie humanitárnych pracovníkov a poskytuje poradenstvo v oblasti psychologickej prvej pomoci a akútnej starostlivosti.</w:t>
            </w:r>
            <w:r w:rsidR="007C66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00549EDF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E5" w14:textId="77777777" w:rsidTr="00066056">
        <w:trPr>
          <w:trHeight w:val="915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0549EE1" w14:textId="77777777" w:rsidR="00DC4B73" w:rsidRDefault="00E73F6D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2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E3" w14:textId="1FF0F5F5" w:rsidR="00DC4B73" w:rsidRPr="004C2B9A" w:rsidRDefault="004C2B9A" w:rsidP="004C2B9A">
            <w:pPr>
              <w:spacing w:after="0" w:line="240" w:lineRule="auto"/>
              <w:jc w:val="both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In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context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disasters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individual's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involvement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implies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being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thrust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into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uncontrollable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unforeseeable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situation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exceeding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typical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human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experience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Humanitarian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healthcare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crisis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management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should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adhere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four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key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principles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: humanity, neutrality,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impartiality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independence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These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principles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underpin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humanitarian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nursing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environments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affected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natural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or man-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made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disasters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monograph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addresses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topics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such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legal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territorial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aspects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crisis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situations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alongside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issues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like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poverty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homelessness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epidemics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war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conflicts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affecting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displaced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populations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also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covers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vaccination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humanitarian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provides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guidance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psychological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first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aid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acute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4C2B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12" w:type="dxa"/>
            <w:vAlign w:val="center"/>
          </w:tcPr>
          <w:p w14:paraId="00549EE4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EE" w14:textId="77777777" w:rsidTr="00066056">
        <w:trPr>
          <w:trHeight w:val="810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0549EE6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4F878F" w14:textId="77777777" w:rsidR="00B67A32" w:rsidRDefault="00B67A32" w:rsidP="00B67A32">
            <w:pPr>
              <w:spacing w:after="0"/>
              <w:rPr>
                <w:rFonts w:ascii="Times New Roman" w:eastAsia="SimSun" w:hAnsi="Times New Roman" w:cs="Times New Roman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  <w:p w14:paraId="16FAB08E" w14:textId="77777777" w:rsidR="00DC4B73" w:rsidRDefault="00DC4B73" w:rsidP="00B67A32">
            <w:pPr>
              <w:spacing w:after="0"/>
              <w:rPr>
                <w:rFonts w:ascii="Times New Roman" w:eastAsia="SimSun" w:hAnsi="Times New Roman" w:cs="Times New Roman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  <w:p w14:paraId="00549EEC" w14:textId="24EF9A2F" w:rsidR="007F6E81" w:rsidRPr="00B67A32" w:rsidRDefault="007F6E81" w:rsidP="00B67A32">
            <w:pPr>
              <w:spacing w:after="0"/>
              <w:rPr>
                <w:rFonts w:ascii="Times New Roman" w:eastAsia="SimSun" w:hAnsi="Times New Roman" w:cs="Times New Roman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ED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F2" w14:textId="77777777" w:rsidTr="00066056">
        <w:trPr>
          <w:trHeight w:val="1170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0549EEF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B3B3D8" w14:textId="106F7CF9" w:rsidR="0084503F" w:rsidRDefault="0084503F" w:rsidP="00EF3213">
            <w:pPr>
              <w:pStyle w:val="PredformtovanHTML"/>
              <w:shd w:val="clear" w:color="auto" w:fill="F8F9FA"/>
              <w:jc w:val="both"/>
              <w:rPr>
                <w:rFonts w:asciiTheme="minorHAnsi" w:hAnsiTheme="minorHAnsi" w:cstheme="minorHAnsi"/>
                <w:color w:val="0D0D0D"/>
                <w:sz w:val="16"/>
                <w:szCs w:val="16"/>
                <w:shd w:val="clear" w:color="auto" w:fill="FFFFFF"/>
              </w:rPr>
            </w:pPr>
            <w:r w:rsidRPr="0084503F">
              <w:rPr>
                <w:rFonts w:asciiTheme="minorHAnsi" w:hAnsiTheme="minorHAnsi" w:cstheme="minorHAnsi"/>
                <w:color w:val="0D0D0D"/>
                <w:sz w:val="16"/>
                <w:szCs w:val="16"/>
                <w:shd w:val="clear" w:color="auto" w:fill="FFFFFF"/>
              </w:rPr>
              <w:t>Každý siedmy človek na svete je migrant. Medzinárodné konflikty, zmena klímy, občianske vojny, etnické konflikty a nedostatočná ochrana zraniteľných jednotlivcov vedú milióny ľudí k nebezpečným presunom k hraniciam Európy.   Štatistiky poukazujú na hodnoty v číslach, ale každý z ohromujúcich (miliónových) čísiel predstavuje ťažký príbeh jednotlivca, ktorý pri hľadaní bezpečnosti zanechal svoj domov, priateľov, príbuzných a vo väčšine prípadov stratil aj  svoju ľudskú dôstojnosť.  Komunity migrantov a utečencov sa popri bežnej populácii v hostiteľskej krajine javia ako zraniteľné skupiny, kvôli štrukturálnym nerovnostiam, s ktorými sa stretávajú a majú významný vplyv celkové zdravie</w:t>
            </w:r>
            <w:r>
              <w:rPr>
                <w:rFonts w:asciiTheme="minorHAnsi" w:hAnsiTheme="minorHAnsi" w:cstheme="minorHAnsi"/>
                <w:color w:val="0D0D0D"/>
                <w:sz w:val="16"/>
                <w:szCs w:val="16"/>
                <w:shd w:val="clear" w:color="auto" w:fill="FFFFFF"/>
              </w:rPr>
              <w:t xml:space="preserve"> migrujúcej populácie</w:t>
            </w:r>
            <w:r w:rsidRPr="0084503F">
              <w:rPr>
                <w:rFonts w:asciiTheme="minorHAnsi" w:hAnsiTheme="minorHAnsi" w:cstheme="minorHAnsi"/>
                <w:color w:val="0D0D0D"/>
                <w:sz w:val="16"/>
                <w:szCs w:val="16"/>
                <w:shd w:val="clear" w:color="auto" w:fill="FFFFFF"/>
              </w:rPr>
              <w:t>. Podmienky súvisiace s migráciou, čiže pred migráciou, tranzitom, pobytom v destinácii, respektíve návratom zvyknú určovať trajektóriu zdravia.</w:t>
            </w:r>
            <w:r w:rsidR="00865ED3">
              <w:rPr>
                <w:rFonts w:asciiTheme="minorHAnsi" w:hAnsiTheme="minorHAnsi" w:cstheme="minorHAnsi"/>
                <w:color w:val="0D0D0D"/>
                <w:sz w:val="16"/>
                <w:szCs w:val="16"/>
                <w:shd w:val="clear" w:color="auto" w:fill="FFFFFF"/>
              </w:rPr>
              <w:t xml:space="preserve"> Často sú </w:t>
            </w:r>
            <w:r w:rsidRPr="0084503F">
              <w:rPr>
                <w:rFonts w:asciiTheme="minorHAnsi" w:hAnsiTheme="minorHAnsi" w:cstheme="minorHAnsi"/>
                <w:color w:val="0D0D0D"/>
                <w:sz w:val="16"/>
                <w:szCs w:val="16"/>
                <w:shd w:val="clear" w:color="auto" w:fill="FFFFFF"/>
              </w:rPr>
              <w:t xml:space="preserve">ohrození chudobou, </w:t>
            </w:r>
            <w:proofErr w:type="spellStart"/>
            <w:r w:rsidRPr="0084503F">
              <w:rPr>
                <w:rFonts w:asciiTheme="minorHAnsi" w:hAnsiTheme="minorHAnsi" w:cstheme="minorHAnsi"/>
                <w:color w:val="0D0D0D"/>
                <w:sz w:val="16"/>
                <w:szCs w:val="16"/>
                <w:shd w:val="clear" w:color="auto" w:fill="FFFFFF"/>
              </w:rPr>
              <w:t>bezdomovectvom</w:t>
            </w:r>
            <w:proofErr w:type="spellEnd"/>
            <w:r w:rsidRPr="0084503F">
              <w:rPr>
                <w:rFonts w:asciiTheme="minorHAnsi" w:hAnsiTheme="minorHAnsi" w:cstheme="minorHAnsi"/>
                <w:color w:val="0D0D0D"/>
                <w:sz w:val="16"/>
                <w:szCs w:val="16"/>
                <w:shd w:val="clear" w:color="auto" w:fill="FFFFFF"/>
              </w:rPr>
              <w:t xml:space="preserve">, podvýživou, epidémiami, infekciami. Vojnové prostredie je hrozbou v zmysle </w:t>
            </w:r>
            <w:proofErr w:type="spellStart"/>
            <w:r w:rsidRPr="0084503F">
              <w:rPr>
                <w:rFonts w:asciiTheme="minorHAnsi" w:hAnsiTheme="minorHAnsi" w:cstheme="minorHAnsi"/>
                <w:color w:val="0D0D0D"/>
                <w:sz w:val="16"/>
                <w:szCs w:val="16"/>
                <w:shd w:val="clear" w:color="auto" w:fill="FFFFFF"/>
              </w:rPr>
              <w:t>bioterorizmu</w:t>
            </w:r>
            <w:proofErr w:type="spellEnd"/>
            <w:r w:rsidRPr="0084503F">
              <w:rPr>
                <w:rFonts w:asciiTheme="minorHAnsi" w:hAnsiTheme="minorHAnsi" w:cstheme="minorHAnsi"/>
                <w:color w:val="0D0D0D"/>
                <w:sz w:val="16"/>
                <w:szCs w:val="16"/>
                <w:shd w:val="clear" w:color="auto" w:fill="FFFFFF"/>
              </w:rPr>
              <w:t xml:space="preserve">, fyzických jadrových a chemických katastrof. Humanitárne prostredie vyžaduje informácie o očkovaní ako ochrany zdravia v prvom rade samotných humanitárnych pracovníkov. </w:t>
            </w:r>
            <w:r w:rsidR="007E1984">
              <w:rPr>
                <w:rFonts w:asciiTheme="minorHAnsi" w:hAnsiTheme="minorHAnsi" w:cstheme="minorHAnsi"/>
                <w:color w:val="0D0D0D"/>
                <w:sz w:val="16"/>
                <w:szCs w:val="16"/>
                <w:shd w:val="clear" w:color="auto" w:fill="FFFFFF"/>
              </w:rPr>
              <w:t>Neodmysliteľné sú</w:t>
            </w:r>
            <w:r w:rsidRPr="0084503F">
              <w:rPr>
                <w:rFonts w:asciiTheme="minorHAnsi" w:hAnsiTheme="minorHAnsi" w:cstheme="minorHAnsi"/>
                <w:color w:val="0D0D0D"/>
                <w:sz w:val="16"/>
                <w:szCs w:val="16"/>
                <w:shd w:val="clear" w:color="auto" w:fill="FFFFFF"/>
              </w:rPr>
              <w:t xml:space="preserve"> vedomosti poskytovania prvej pomoci </w:t>
            </w:r>
            <w:r w:rsidR="007E1984">
              <w:rPr>
                <w:rFonts w:asciiTheme="minorHAnsi" w:hAnsiTheme="minorHAnsi" w:cstheme="minorHAnsi"/>
                <w:color w:val="0D0D0D"/>
                <w:sz w:val="16"/>
                <w:szCs w:val="16"/>
                <w:shd w:val="clear" w:color="auto" w:fill="FFFFFF"/>
              </w:rPr>
              <w:t>ošetrujúci</w:t>
            </w:r>
            <w:r w:rsidR="00145129">
              <w:rPr>
                <w:rFonts w:asciiTheme="minorHAnsi" w:hAnsiTheme="minorHAnsi" w:cstheme="minorHAnsi"/>
                <w:color w:val="0D0D0D"/>
                <w:sz w:val="16"/>
                <w:szCs w:val="16"/>
                <w:shd w:val="clear" w:color="auto" w:fill="FFFFFF"/>
              </w:rPr>
              <w:t xml:space="preserve">ch </w:t>
            </w:r>
            <w:r w:rsidRPr="0084503F">
              <w:rPr>
                <w:rFonts w:asciiTheme="minorHAnsi" w:hAnsiTheme="minorHAnsi" w:cstheme="minorHAnsi"/>
                <w:color w:val="0D0D0D"/>
                <w:sz w:val="16"/>
                <w:szCs w:val="16"/>
                <w:shd w:val="clear" w:color="auto" w:fill="FFFFFF"/>
              </w:rPr>
              <w:t>v humanitárnom prostredí,</w:t>
            </w:r>
            <w:r w:rsidR="007D677B" w:rsidRPr="007D677B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</w:t>
            </w:r>
            <w:r w:rsidR="007D677B" w:rsidRPr="007D677B">
              <w:rPr>
                <w:rFonts w:asciiTheme="minorHAnsi" w:hAnsiTheme="minorHAnsi" w:cstheme="minorHAnsi"/>
                <w:color w:val="0D0D0D"/>
                <w:sz w:val="16"/>
                <w:szCs w:val="16"/>
                <w:shd w:val="clear" w:color="auto" w:fill="FFFFFF"/>
              </w:rPr>
              <w:t>Obsah výstupu je možné aplikovať v predmetoch: Ošetrovateľstvo v chirurgii, Ošetrovateľstvo pri infekčných ochoreniach, Urgentná zdravotná starostlivosť, Humanitárna pomoc a Manažment katastrof</w:t>
            </w:r>
          </w:p>
          <w:p w14:paraId="18DF06C5" w14:textId="728EF79B" w:rsidR="00DC4B73" w:rsidRPr="0015637F" w:rsidRDefault="00F94520" w:rsidP="00EF3213">
            <w:pPr>
              <w:pStyle w:val="PredformtovanHTML"/>
              <w:shd w:val="clear" w:color="auto" w:fill="F8F9FA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Every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seventh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person in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world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a migrant. International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conflicts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climate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change, civil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wars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ethnic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conflicts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, and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insufficient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protection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vulnerable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individuals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lead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millions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people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undertake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perilous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journeys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towards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Europe's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borders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While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statistics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point to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figures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each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these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staggering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million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numbers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represents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harrowing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story of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an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individual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who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, in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search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safety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left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behind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their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home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friends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relatives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, and in most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cases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lost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their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human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dignity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. Migrant and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refugee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communities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alongside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host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country's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general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population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appear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vulnerable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groups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due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structural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inequalities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they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face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significantly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impacting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overall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health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migrating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population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Conditions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related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migration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whether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before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migration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during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transit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during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their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stay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at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destination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, or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upon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return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often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determine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health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trajectory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They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are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frequently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endangered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by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poverty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homelessness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malnutrition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epidemics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, and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infections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war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environment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poses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threats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such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bioterrorism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physical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nuclear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, and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chemical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disasters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humanitarian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environment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necessitates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information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vaccination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primary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health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protection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humanitarian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workers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themselves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Essential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are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skills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providing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first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aid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caregivers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humanitarian</w:t>
            </w:r>
            <w:proofErr w:type="spellEnd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5637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settings</w:t>
            </w:r>
            <w:proofErr w:type="spellEnd"/>
            <w:r w:rsidR="009F2390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.</w:t>
            </w:r>
            <w:r w:rsidR="009F2390" w:rsidRPr="009F2390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9F2390" w:rsidRPr="009F2390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="009F2390" w:rsidRPr="009F2390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F2390" w:rsidRPr="009F2390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content</w:t>
            </w:r>
            <w:proofErr w:type="spellEnd"/>
            <w:r w:rsidR="009F2390" w:rsidRPr="009F2390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9F2390" w:rsidRPr="009F2390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="009F2390" w:rsidRPr="009F2390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="009F2390" w:rsidRPr="009F2390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can</w:t>
            </w:r>
            <w:proofErr w:type="spellEnd"/>
            <w:r w:rsidR="009F2390" w:rsidRPr="009F2390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F2390" w:rsidRPr="009F2390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be</w:t>
            </w:r>
            <w:proofErr w:type="spellEnd"/>
            <w:r w:rsidR="009F2390" w:rsidRPr="009F2390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F2390" w:rsidRPr="009F2390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applied</w:t>
            </w:r>
            <w:proofErr w:type="spellEnd"/>
            <w:r w:rsidR="009F2390" w:rsidRPr="009F2390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="009F2390" w:rsidRPr="009F2390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subjects</w:t>
            </w:r>
            <w:proofErr w:type="spellEnd"/>
            <w:r w:rsidR="009F2390" w:rsidRPr="009F2390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F2390" w:rsidRPr="009F2390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such</w:t>
            </w:r>
            <w:proofErr w:type="spellEnd"/>
            <w:r w:rsidR="009F2390" w:rsidRPr="009F2390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="009F2390" w:rsidRPr="009F2390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Surgical</w:t>
            </w:r>
            <w:proofErr w:type="spellEnd"/>
            <w:r w:rsidR="009F2390" w:rsidRPr="009F2390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Nursing, Nursing in </w:t>
            </w:r>
            <w:proofErr w:type="spellStart"/>
            <w:r w:rsidR="009F2390" w:rsidRPr="009F2390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Infectious</w:t>
            </w:r>
            <w:proofErr w:type="spellEnd"/>
            <w:r w:rsidR="009F2390" w:rsidRPr="009F2390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F2390" w:rsidRPr="009F2390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Diseases</w:t>
            </w:r>
            <w:proofErr w:type="spellEnd"/>
            <w:r w:rsidR="009F2390" w:rsidRPr="009F2390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F2390" w:rsidRPr="009F2390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Emergency</w:t>
            </w:r>
            <w:proofErr w:type="spellEnd"/>
            <w:r w:rsidR="009F2390" w:rsidRPr="009F2390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F2390" w:rsidRPr="009F2390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Healthcare</w:t>
            </w:r>
            <w:proofErr w:type="spellEnd"/>
            <w:r w:rsidR="009F2390" w:rsidRPr="009F2390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F2390" w:rsidRPr="009F2390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Humanitarian</w:t>
            </w:r>
            <w:proofErr w:type="spellEnd"/>
            <w:r w:rsidR="009F2390" w:rsidRPr="009F2390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Aid, and </w:t>
            </w:r>
            <w:proofErr w:type="spellStart"/>
            <w:r w:rsidR="009F2390" w:rsidRPr="009F2390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Disaster</w:t>
            </w:r>
            <w:proofErr w:type="spellEnd"/>
            <w:r w:rsidR="009F2390" w:rsidRPr="009F2390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 xml:space="preserve"> Management.</w:t>
            </w:r>
          </w:p>
          <w:p w14:paraId="00549EF0" w14:textId="37D0E2B9" w:rsidR="00F94520" w:rsidRPr="00A821DF" w:rsidRDefault="00F94520" w:rsidP="00EF3213">
            <w:pPr>
              <w:pStyle w:val="PredformtovanHTML"/>
              <w:shd w:val="clear" w:color="auto" w:fill="F8F9F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0549EF1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F6" w14:textId="77777777" w:rsidTr="00066056">
        <w:trPr>
          <w:trHeight w:val="1290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0549EF3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lastRenderedPageBreak/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FFED76" w14:textId="113E3496" w:rsidR="005E47D6" w:rsidRPr="00913D61" w:rsidRDefault="00FD3F49" w:rsidP="005E47D6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4A1935">
              <w:rPr>
                <w:rFonts w:ascii="Calibri" w:hAnsi="Calibri" w:cs="Calibri"/>
                <w:color w:val="000000"/>
                <w:sz w:val="16"/>
                <w:szCs w:val="16"/>
              </w:rPr>
              <w:t>Akútne situácie a katastrofy si vyžadujú zdravotnú</w:t>
            </w:r>
            <w:r w:rsidR="00FE737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E73F6D">
              <w:rPr>
                <w:rFonts w:ascii="Calibri" w:hAnsi="Calibri" w:cs="Calibri"/>
                <w:color w:val="000000"/>
                <w:sz w:val="16"/>
                <w:szCs w:val="16"/>
              </w:rPr>
              <w:t>tiež</w:t>
            </w:r>
            <w:r w:rsidR="004A1935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4A1935">
              <w:rPr>
                <w:rFonts w:ascii="Calibri" w:hAnsi="Calibri" w:cs="Calibri"/>
                <w:color w:val="000000"/>
                <w:sz w:val="16"/>
                <w:szCs w:val="16"/>
              </w:rPr>
              <w:t>ošetrovateľs</w:t>
            </w:r>
            <w:r w:rsidR="004A193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kú krízovú intervenciu, ako aj </w:t>
            </w:r>
            <w:r w:rsidRPr="004A1935">
              <w:rPr>
                <w:rFonts w:ascii="Calibri" w:hAnsi="Calibri" w:cs="Calibri"/>
                <w:color w:val="000000"/>
                <w:sz w:val="16"/>
                <w:szCs w:val="16"/>
              </w:rPr>
              <w:t>sociálnu krízovú intervenciu. Primárnym cieľom takéhoto zásahu je záchrana ľudských životov postupnosťou obozretných krokov pri zachovaní ľudskej dôstojnosti, aby sa predišlo ďalšiemu poškodzovaniu alebo prehlbovaniu existujúcich problémov.</w:t>
            </w:r>
            <w:r w:rsidR="00FF355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4A193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Toto riešenie nevyhnutne zahŕňa zber a analýzu údajov o udalosti. Vyžaduje si zručnosti pri riešení dvoch základných druhov pomoci: 1/ Poskytovanie prvej pomoci (zdravotnej aj psychologickej). </w:t>
            </w:r>
            <w:r w:rsidRPr="00FF3552">
              <w:rPr>
                <w:rFonts w:ascii="Calibri" w:hAnsi="Calibri" w:cs="Calibri"/>
                <w:color w:val="000000"/>
                <w:sz w:val="16"/>
                <w:szCs w:val="16"/>
              </w:rPr>
              <w:t>2/ Riadenie humanitárnych katastrof podľa ich rozsahu s pomocou medzinárodnej humanitárnej pomoci.</w:t>
            </w:r>
            <w:r w:rsidR="00913D6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FF3552">
              <w:rPr>
                <w:rFonts w:ascii="Calibri" w:hAnsi="Calibri" w:cs="Calibri"/>
                <w:color w:val="000000"/>
                <w:sz w:val="16"/>
                <w:szCs w:val="16"/>
              </w:rPr>
              <w:t>Výs</w:t>
            </w:r>
            <w:r w:rsidR="00FF3552" w:rsidRPr="00FF3552">
              <w:rPr>
                <w:rFonts w:ascii="Calibri" w:hAnsi="Calibri" w:cs="Calibri"/>
                <w:color w:val="000000"/>
                <w:sz w:val="16"/>
                <w:szCs w:val="16"/>
              </w:rPr>
              <w:t>tup</w:t>
            </w:r>
            <w:r w:rsidRPr="00FF355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je zameraný na pochopenie rizík, schopnosť predvídať a eliminovať krízové udalosti. </w:t>
            </w:r>
            <w:r w:rsidR="004E66A7" w:rsidRPr="00C3507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Situácie, ktoré si vyžadujú kontinuálny výcvik a nadobúdanie skúseností odovzdáva interdisciplinárny autorský kolektív študentom na základe osobných skúseností a dobrej praxe. Obsah výstupu je možné aplikovať v</w:t>
            </w:r>
            <w:r w:rsidR="008571A7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  <w:r w:rsidR="004E66A7" w:rsidRPr="00C3507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predmetoch</w:t>
            </w:r>
            <w:r w:rsidR="008571A7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4E66A7">
              <w:rPr>
                <w:rFonts w:ascii="Calibri" w:hAnsi="Calibri" w:cs="Calibri"/>
                <w:color w:val="000000"/>
                <w:sz w:val="16"/>
                <w:szCs w:val="16"/>
              </w:rPr>
              <w:t>ako</w:t>
            </w:r>
            <w:r w:rsidR="008571A7">
              <w:rPr>
                <w:rFonts w:ascii="Calibri" w:hAnsi="Calibri" w:cs="Calibri"/>
                <w:color w:val="000000"/>
                <w:sz w:val="16"/>
                <w:szCs w:val="16"/>
              </w:rPr>
              <w:t>:</w:t>
            </w:r>
            <w:r w:rsidRPr="004E66A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Multikultúrne ošetrovateľstvo, Komunitné ošetrovateľstvo, Humanitárna prvá pomoc, Manažment katastrof, Zdravotná starostlivosť o utečencov a migrantov, ako aj v humanitárnej sociálnej práci a sociálnej práci s vysídleným obyvateľstvom.</w:t>
            </w:r>
            <w:r w:rsidR="008571A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Acute</w:t>
            </w:r>
            <w:proofErr w:type="spellEnd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situations</w:t>
            </w:r>
            <w:proofErr w:type="spellEnd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disasters</w:t>
            </w:r>
            <w:proofErr w:type="spellEnd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require</w:t>
            </w:r>
            <w:proofErr w:type="spellEnd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healthcare</w:t>
            </w:r>
            <w:proofErr w:type="spellEnd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nursing</w:t>
            </w:r>
            <w:proofErr w:type="spellEnd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and </w:t>
            </w:r>
            <w:proofErr w:type="spellStart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crisis</w:t>
            </w:r>
            <w:proofErr w:type="spellEnd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intervention</w:t>
            </w:r>
            <w:proofErr w:type="spellEnd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primary</w:t>
            </w:r>
            <w:proofErr w:type="spellEnd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goal</w:t>
            </w:r>
            <w:proofErr w:type="spellEnd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such</w:t>
            </w:r>
            <w:proofErr w:type="spellEnd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intervention</w:t>
            </w:r>
            <w:proofErr w:type="spellEnd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save</w:t>
            </w:r>
            <w:proofErr w:type="spellEnd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human</w:t>
            </w:r>
            <w:proofErr w:type="spellEnd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lives</w:t>
            </w:r>
            <w:proofErr w:type="spellEnd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using</w:t>
            </w:r>
            <w:proofErr w:type="spellEnd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 </w:t>
            </w:r>
            <w:proofErr w:type="spellStart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sequence</w:t>
            </w:r>
            <w:proofErr w:type="spellEnd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prudent</w:t>
            </w:r>
            <w:proofErr w:type="spellEnd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steps</w:t>
            </w:r>
            <w:proofErr w:type="spellEnd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while</w:t>
            </w:r>
            <w:proofErr w:type="spellEnd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preserving</w:t>
            </w:r>
            <w:proofErr w:type="spellEnd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human</w:t>
            </w:r>
            <w:proofErr w:type="spellEnd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dignity</w:t>
            </w:r>
            <w:proofErr w:type="spellEnd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prevent</w:t>
            </w:r>
            <w:proofErr w:type="spellEnd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further</w:t>
            </w:r>
            <w:proofErr w:type="spellEnd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harm</w:t>
            </w:r>
            <w:proofErr w:type="spellEnd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exacerbation</w:t>
            </w:r>
            <w:proofErr w:type="spellEnd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existing</w:t>
            </w:r>
            <w:proofErr w:type="spellEnd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problems</w:t>
            </w:r>
            <w:proofErr w:type="spellEnd"/>
            <w:r w:rsidR="005E47D6"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.</w:t>
            </w:r>
          </w:p>
          <w:p w14:paraId="26DDFF80" w14:textId="77777777" w:rsidR="005E47D6" w:rsidRPr="00913D61" w:rsidRDefault="005E47D6" w:rsidP="005E47D6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This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solution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necessarily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involves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collecting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analyzing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data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about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event.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It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requires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skills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addressing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two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basic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types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assistance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: 1/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Providing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first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aid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both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medical and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psychological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). 2/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Managing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humanitarian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disasters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according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their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scope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with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assistance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international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humanitarian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aid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.</w:t>
            </w:r>
          </w:p>
          <w:p w14:paraId="00549EF4" w14:textId="5CB4715E" w:rsidR="00DC4B73" w:rsidRPr="00FF3552" w:rsidRDefault="005E47D6" w:rsidP="005E47D6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outcome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focuses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understanding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risks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ability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anticipate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eliminate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crisis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events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Situations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requiring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ongoing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training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experience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acquisition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are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transmitted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students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by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an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interdisciplinary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team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based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personal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experiences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best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practices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content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outcome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can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be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applied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subjects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such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Multicultural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Nursing,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Community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Nursing,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Humanitarian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First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Aid,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Disaster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Management,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Healthcare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Refugees and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Migrants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as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well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as in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humanitarian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with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displaced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populations</w:t>
            </w:r>
            <w:proofErr w:type="spellEnd"/>
            <w:r w:rsidRPr="00913D61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00549EF5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00549EF7" w14:textId="77777777" w:rsidR="007110FE" w:rsidRDefault="007110FE"/>
    <w:sectPr w:rsidR="00711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C5570" w14:textId="77777777" w:rsidR="00044397" w:rsidRDefault="00044397">
      <w:pPr>
        <w:spacing w:line="240" w:lineRule="auto"/>
      </w:pPr>
      <w:r>
        <w:separator/>
      </w:r>
    </w:p>
  </w:endnote>
  <w:endnote w:type="continuationSeparator" w:id="0">
    <w:p w14:paraId="14171A14" w14:textId="77777777" w:rsidR="00044397" w:rsidRDefault="000443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07B67" w14:textId="77777777" w:rsidR="00044397" w:rsidRDefault="00044397">
      <w:pPr>
        <w:spacing w:after="0"/>
      </w:pPr>
      <w:r>
        <w:separator/>
      </w:r>
    </w:p>
  </w:footnote>
  <w:footnote w:type="continuationSeparator" w:id="0">
    <w:p w14:paraId="54222BE9" w14:textId="77777777" w:rsidR="00044397" w:rsidRDefault="0004439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45DC5A4E"/>
    <w:multiLevelType w:val="hybridMultilevel"/>
    <w:tmpl w:val="62A49F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015373">
    <w:abstractNumId w:val="0"/>
  </w:num>
  <w:num w:numId="2" w16cid:durableId="162862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008F6"/>
    <w:rsid w:val="00044397"/>
    <w:rsid w:val="00066056"/>
    <w:rsid w:val="00077B48"/>
    <w:rsid w:val="000904A6"/>
    <w:rsid w:val="00092E31"/>
    <w:rsid w:val="00096BE7"/>
    <w:rsid w:val="000C3455"/>
    <w:rsid w:val="000E7FE5"/>
    <w:rsid w:val="0010663B"/>
    <w:rsid w:val="00113944"/>
    <w:rsid w:val="00114DE7"/>
    <w:rsid w:val="001200EA"/>
    <w:rsid w:val="00145129"/>
    <w:rsid w:val="0015637F"/>
    <w:rsid w:val="00163E54"/>
    <w:rsid w:val="00190A9C"/>
    <w:rsid w:val="001944EC"/>
    <w:rsid w:val="001C049E"/>
    <w:rsid w:val="001D5800"/>
    <w:rsid w:val="001F2B01"/>
    <w:rsid w:val="00203C43"/>
    <w:rsid w:val="00211BB7"/>
    <w:rsid w:val="00226BE1"/>
    <w:rsid w:val="0023661A"/>
    <w:rsid w:val="00247A8A"/>
    <w:rsid w:val="002835F8"/>
    <w:rsid w:val="002B62B4"/>
    <w:rsid w:val="002D6954"/>
    <w:rsid w:val="00310360"/>
    <w:rsid w:val="00335EC1"/>
    <w:rsid w:val="00373997"/>
    <w:rsid w:val="00394799"/>
    <w:rsid w:val="003C6490"/>
    <w:rsid w:val="003D2FE0"/>
    <w:rsid w:val="003D6E5F"/>
    <w:rsid w:val="0040091F"/>
    <w:rsid w:val="004024D4"/>
    <w:rsid w:val="00403274"/>
    <w:rsid w:val="004164B0"/>
    <w:rsid w:val="00433C41"/>
    <w:rsid w:val="00486237"/>
    <w:rsid w:val="00494BE4"/>
    <w:rsid w:val="004951B1"/>
    <w:rsid w:val="004A1935"/>
    <w:rsid w:val="004C0ADE"/>
    <w:rsid w:val="004C2B9A"/>
    <w:rsid w:val="004E47EC"/>
    <w:rsid w:val="004E66A7"/>
    <w:rsid w:val="004E7748"/>
    <w:rsid w:val="004F38D9"/>
    <w:rsid w:val="005040DB"/>
    <w:rsid w:val="00521676"/>
    <w:rsid w:val="005B1432"/>
    <w:rsid w:val="005C4FE3"/>
    <w:rsid w:val="005C7705"/>
    <w:rsid w:val="005D04A4"/>
    <w:rsid w:val="005D5503"/>
    <w:rsid w:val="005E47D6"/>
    <w:rsid w:val="00610ADD"/>
    <w:rsid w:val="00625D24"/>
    <w:rsid w:val="00632720"/>
    <w:rsid w:val="00650590"/>
    <w:rsid w:val="00655442"/>
    <w:rsid w:val="00674C9D"/>
    <w:rsid w:val="0069009C"/>
    <w:rsid w:val="0069452C"/>
    <w:rsid w:val="006A3559"/>
    <w:rsid w:val="006A7C07"/>
    <w:rsid w:val="0070419C"/>
    <w:rsid w:val="007110FE"/>
    <w:rsid w:val="00716245"/>
    <w:rsid w:val="00716E22"/>
    <w:rsid w:val="00727248"/>
    <w:rsid w:val="0073261A"/>
    <w:rsid w:val="00734A18"/>
    <w:rsid w:val="00763613"/>
    <w:rsid w:val="00781559"/>
    <w:rsid w:val="00787BE8"/>
    <w:rsid w:val="007A00CE"/>
    <w:rsid w:val="007A728C"/>
    <w:rsid w:val="007B0B9D"/>
    <w:rsid w:val="007B25A2"/>
    <w:rsid w:val="007B6A26"/>
    <w:rsid w:val="007C6635"/>
    <w:rsid w:val="007D0393"/>
    <w:rsid w:val="007D0A8E"/>
    <w:rsid w:val="007D677B"/>
    <w:rsid w:val="007E1984"/>
    <w:rsid w:val="007E5432"/>
    <w:rsid w:val="007F6E81"/>
    <w:rsid w:val="0081212E"/>
    <w:rsid w:val="008160EF"/>
    <w:rsid w:val="008428CD"/>
    <w:rsid w:val="0084503F"/>
    <w:rsid w:val="008571A7"/>
    <w:rsid w:val="00864BC8"/>
    <w:rsid w:val="00865ED3"/>
    <w:rsid w:val="00893451"/>
    <w:rsid w:val="008A5E3E"/>
    <w:rsid w:val="008D3480"/>
    <w:rsid w:val="008E64DE"/>
    <w:rsid w:val="00902BE9"/>
    <w:rsid w:val="009034E3"/>
    <w:rsid w:val="00913D61"/>
    <w:rsid w:val="00920192"/>
    <w:rsid w:val="009209F8"/>
    <w:rsid w:val="0092260C"/>
    <w:rsid w:val="009465DB"/>
    <w:rsid w:val="00951B66"/>
    <w:rsid w:val="009741FC"/>
    <w:rsid w:val="009911D1"/>
    <w:rsid w:val="009A0A0B"/>
    <w:rsid w:val="009A313C"/>
    <w:rsid w:val="009B37A0"/>
    <w:rsid w:val="009B3A0F"/>
    <w:rsid w:val="009B7D74"/>
    <w:rsid w:val="009C5D91"/>
    <w:rsid w:val="009E5EA4"/>
    <w:rsid w:val="009E6244"/>
    <w:rsid w:val="009F2390"/>
    <w:rsid w:val="00A02ED9"/>
    <w:rsid w:val="00A03904"/>
    <w:rsid w:val="00A20007"/>
    <w:rsid w:val="00A3205A"/>
    <w:rsid w:val="00A326BC"/>
    <w:rsid w:val="00A37B1B"/>
    <w:rsid w:val="00A5233A"/>
    <w:rsid w:val="00A63CAB"/>
    <w:rsid w:val="00A655B1"/>
    <w:rsid w:val="00A67470"/>
    <w:rsid w:val="00A80C22"/>
    <w:rsid w:val="00A821DF"/>
    <w:rsid w:val="00A90BAD"/>
    <w:rsid w:val="00AA0207"/>
    <w:rsid w:val="00AA5FD2"/>
    <w:rsid w:val="00AE32E9"/>
    <w:rsid w:val="00B00459"/>
    <w:rsid w:val="00B029EA"/>
    <w:rsid w:val="00B174B7"/>
    <w:rsid w:val="00B20565"/>
    <w:rsid w:val="00B317B5"/>
    <w:rsid w:val="00B46660"/>
    <w:rsid w:val="00B47C93"/>
    <w:rsid w:val="00B5212C"/>
    <w:rsid w:val="00B67A32"/>
    <w:rsid w:val="00B72828"/>
    <w:rsid w:val="00B92CBF"/>
    <w:rsid w:val="00BA6B33"/>
    <w:rsid w:val="00BD5E37"/>
    <w:rsid w:val="00BE6FFC"/>
    <w:rsid w:val="00BF62BC"/>
    <w:rsid w:val="00C177E0"/>
    <w:rsid w:val="00C47115"/>
    <w:rsid w:val="00C52D57"/>
    <w:rsid w:val="00C5661B"/>
    <w:rsid w:val="00C738E3"/>
    <w:rsid w:val="00C75739"/>
    <w:rsid w:val="00C94E92"/>
    <w:rsid w:val="00CA3C8F"/>
    <w:rsid w:val="00CB0D4A"/>
    <w:rsid w:val="00CD1727"/>
    <w:rsid w:val="00D1416B"/>
    <w:rsid w:val="00D17789"/>
    <w:rsid w:val="00D2301A"/>
    <w:rsid w:val="00D46FD1"/>
    <w:rsid w:val="00D504A2"/>
    <w:rsid w:val="00D50783"/>
    <w:rsid w:val="00D55C26"/>
    <w:rsid w:val="00D6470E"/>
    <w:rsid w:val="00D66C87"/>
    <w:rsid w:val="00D84322"/>
    <w:rsid w:val="00D92C14"/>
    <w:rsid w:val="00DA3354"/>
    <w:rsid w:val="00DC4B73"/>
    <w:rsid w:val="00DC5450"/>
    <w:rsid w:val="00DD5C09"/>
    <w:rsid w:val="00DF2620"/>
    <w:rsid w:val="00E01987"/>
    <w:rsid w:val="00E10036"/>
    <w:rsid w:val="00E37C55"/>
    <w:rsid w:val="00E73F6D"/>
    <w:rsid w:val="00E77555"/>
    <w:rsid w:val="00E83B1E"/>
    <w:rsid w:val="00E933B6"/>
    <w:rsid w:val="00EC0585"/>
    <w:rsid w:val="00ED4C63"/>
    <w:rsid w:val="00EF3213"/>
    <w:rsid w:val="00F0544E"/>
    <w:rsid w:val="00F07C19"/>
    <w:rsid w:val="00F14933"/>
    <w:rsid w:val="00F14BAD"/>
    <w:rsid w:val="00F33F25"/>
    <w:rsid w:val="00F66104"/>
    <w:rsid w:val="00F74D81"/>
    <w:rsid w:val="00F8529E"/>
    <w:rsid w:val="00F94520"/>
    <w:rsid w:val="00FB48C7"/>
    <w:rsid w:val="00FC1F7B"/>
    <w:rsid w:val="00FC3BE3"/>
    <w:rsid w:val="00FD1AC3"/>
    <w:rsid w:val="00FD1CAA"/>
    <w:rsid w:val="00FD3F49"/>
    <w:rsid w:val="00FE737B"/>
    <w:rsid w:val="00FF3552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49E75"/>
  <w15:docId w15:val="{2E31BC79-0413-4346-A53F-F717D38B4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757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Nevyrieenzmienka">
    <w:name w:val="Unresolved Mention"/>
    <w:basedOn w:val="Predvolenpsmoodseku"/>
    <w:uiPriority w:val="99"/>
    <w:semiHidden/>
    <w:unhideWhenUsed/>
    <w:rsid w:val="006A7C07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99"/>
    <w:rsid w:val="007E5432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C7573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3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28700" TargetMode="External"/><Relationship Id="rId18" Type="http://schemas.openxmlformats.org/officeDocument/2006/relationships/hyperlink" Target="https://app.crepc.sk/?fn=detailBiblioForm&amp;sid=E7AD34B89B0076868965F9AE15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2061</Words>
  <Characters>11752</Characters>
  <Application>Microsoft Office Word</Application>
  <DocSecurity>0</DocSecurity>
  <Lines>97</Lines>
  <Paragraphs>27</Paragraphs>
  <ScaleCrop>false</ScaleCrop>
  <Company/>
  <LinksUpToDate>false</LinksUpToDate>
  <CharactersWithSpaces>13786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Králik</dc:creator>
  <cp:lastModifiedBy>Mária Jackulíková</cp:lastModifiedBy>
  <cp:revision>69</cp:revision>
  <dcterms:created xsi:type="dcterms:W3CDTF">2024-03-20T08:31:00Z</dcterms:created>
  <dcterms:modified xsi:type="dcterms:W3CDTF">2024-03-22T09:20:00Z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